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EA4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zh-CN"/>
        </w:rPr>
        <w:t>2024-2025 және 2025-2026 оқу жылдарын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дағы</w:t>
      </w:r>
    </w:p>
    <w:p w14:paraId="0D54472D">
      <w:pPr>
        <w:spacing w:after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zh-CN"/>
        </w:rPr>
        <w:t>тәрбие жұмысының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 xml:space="preserve"> мониторингі</w:t>
      </w:r>
      <w:bookmarkStart w:id="0" w:name="_GoBack"/>
      <w:bookmarkEnd w:id="0"/>
    </w:p>
    <w:p w14:paraId="6525E8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zh-CN"/>
        </w:rPr>
      </w:pPr>
    </w:p>
    <w:tbl>
      <w:tblPr>
        <w:tblStyle w:val="12"/>
        <w:tblW w:w="0" w:type="auto"/>
        <w:tblCellSpacing w:w="15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27"/>
        <w:gridCol w:w="2835"/>
        <w:gridCol w:w="3443"/>
        <w:gridCol w:w="1443"/>
      </w:tblGrid>
      <w:tr w14:paraId="1DBC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082" w:type="dxa"/>
            <w:vAlign w:val="center"/>
          </w:tcPr>
          <w:p w14:paraId="753B49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Көрсеткіштер</w:t>
            </w:r>
          </w:p>
        </w:tc>
        <w:tc>
          <w:tcPr>
            <w:tcW w:w="2805" w:type="dxa"/>
            <w:vAlign w:val="center"/>
          </w:tcPr>
          <w:p w14:paraId="7E6DC7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2024-2025 оқу жылы</w:t>
            </w:r>
          </w:p>
        </w:tc>
        <w:tc>
          <w:tcPr>
            <w:tcW w:w="3413" w:type="dxa"/>
            <w:vAlign w:val="center"/>
          </w:tcPr>
          <w:p w14:paraId="548181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2025-2026 оқу жылы</w:t>
            </w:r>
          </w:p>
        </w:tc>
        <w:tc>
          <w:tcPr>
            <w:tcW w:w="0" w:type="auto"/>
            <w:vAlign w:val="center"/>
          </w:tcPr>
          <w:p w14:paraId="075D3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Серпіні</w:t>
            </w:r>
          </w:p>
        </w:tc>
      </w:tr>
      <w:tr w14:paraId="6990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5AF78C30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Бағдарламаны іске асыру"Адал азамат»</w:t>
            </w:r>
          </w:p>
        </w:tc>
        <w:tc>
          <w:tcPr>
            <w:tcW w:w="2805" w:type="dxa"/>
            <w:vAlign w:val="center"/>
          </w:tcPr>
          <w:p w14:paraId="65C9E999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Енгізу, ішінара игеру</w:t>
            </w:r>
          </w:p>
        </w:tc>
        <w:tc>
          <w:tcPr>
            <w:tcW w:w="3413" w:type="dxa"/>
            <w:vAlign w:val="center"/>
          </w:tcPr>
          <w:p w14:paraId="0E137C76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Толық жүйелі енгізу</w:t>
            </w:r>
          </w:p>
        </w:tc>
        <w:tc>
          <w:tcPr>
            <w:tcW w:w="0" w:type="auto"/>
            <w:vAlign w:val="center"/>
          </w:tcPr>
          <w:p w14:paraId="1C9A613C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Оң нәтиже</w:t>
            </w:r>
          </w:p>
        </w:tc>
      </w:tr>
      <w:tr w14:paraId="2F5E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7811C519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Тәрбие жұмысын жоспарлау</w:t>
            </w:r>
          </w:p>
        </w:tc>
        <w:tc>
          <w:tcPr>
            <w:tcW w:w="2805" w:type="dxa"/>
            <w:vAlign w:val="center"/>
          </w:tcPr>
          <w:p w14:paraId="5CC34FD5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Бірыңғай жоспар, дәстүрлі іс-шаралар</w:t>
            </w:r>
          </w:p>
        </w:tc>
        <w:tc>
          <w:tcPr>
            <w:tcW w:w="3413" w:type="dxa"/>
            <w:vAlign w:val="center"/>
          </w:tcPr>
          <w:p w14:paraId="4BDA930B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Жаңартылған жоспар, құндылықты ұстанымды күшейту</w:t>
            </w:r>
          </w:p>
        </w:tc>
        <w:tc>
          <w:tcPr>
            <w:tcW w:w="0" w:type="auto"/>
            <w:vAlign w:val="center"/>
          </w:tcPr>
          <w:p w14:paraId="1B47DFB8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Жақсарту</w:t>
            </w:r>
          </w:p>
        </w:tc>
      </w:tr>
      <w:tr w14:paraId="09E1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523D7D49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Азаматтық-патриоттық тәрбие беру</w:t>
            </w:r>
          </w:p>
        </w:tc>
        <w:tc>
          <w:tcPr>
            <w:tcW w:w="2805" w:type="dxa"/>
            <w:vAlign w:val="center"/>
          </w:tcPr>
          <w:p w14:paraId="1BFC2A85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Негізгі іс-шаралар өткізілді</w:t>
            </w:r>
          </w:p>
        </w:tc>
        <w:tc>
          <w:tcPr>
            <w:tcW w:w="3413" w:type="dxa"/>
            <w:vAlign w:val="center"/>
          </w:tcPr>
          <w:p w14:paraId="33F7F15B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Іс-шаралар, жобалар саны ұлғайтылды</w:t>
            </w:r>
          </w:p>
        </w:tc>
        <w:tc>
          <w:tcPr>
            <w:tcW w:w="0" w:type="auto"/>
            <w:vAlign w:val="center"/>
          </w:tcPr>
          <w:p w14:paraId="49F2FD02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Өсу</w:t>
            </w:r>
          </w:p>
        </w:tc>
      </w:tr>
      <w:tr w14:paraId="1726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1D40FB45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Оқушылардың қатысу деңгейі</w:t>
            </w:r>
          </w:p>
        </w:tc>
        <w:tc>
          <w:tcPr>
            <w:tcW w:w="2805" w:type="dxa"/>
            <w:vAlign w:val="center"/>
          </w:tcPr>
          <w:p w14:paraId="60F43A37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Орташа (≈70-80%)</w:t>
            </w:r>
          </w:p>
        </w:tc>
        <w:tc>
          <w:tcPr>
            <w:tcW w:w="3413" w:type="dxa"/>
            <w:vAlign w:val="center"/>
          </w:tcPr>
          <w:p w14:paraId="146A3A02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Жоғары (≈85-95%)</w:t>
            </w:r>
          </w:p>
        </w:tc>
        <w:tc>
          <w:tcPr>
            <w:tcW w:w="0" w:type="auto"/>
            <w:vAlign w:val="center"/>
          </w:tcPr>
          <w:p w14:paraId="4A401307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Арттыру</w:t>
            </w:r>
          </w:p>
        </w:tc>
      </w:tr>
      <w:tr w14:paraId="29CD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4565C880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Ата-аналармен жұмыс</w:t>
            </w:r>
          </w:p>
        </w:tc>
        <w:tc>
          <w:tcPr>
            <w:tcW w:w="2805" w:type="dxa"/>
            <w:vAlign w:val="center"/>
          </w:tcPr>
          <w:p w14:paraId="6CC9A8D8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Ата-аналар жиналыстары, эпизодтық белсенділік</w:t>
            </w:r>
          </w:p>
        </w:tc>
        <w:tc>
          <w:tcPr>
            <w:tcW w:w="3413" w:type="dxa"/>
            <w:vAlign w:val="center"/>
          </w:tcPr>
          <w:p w14:paraId="0F5F5837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Жүйелі тарту, бірлескен жобалар</w:t>
            </w:r>
          </w:p>
        </w:tc>
        <w:tc>
          <w:tcPr>
            <w:tcW w:w="0" w:type="auto"/>
            <w:vAlign w:val="center"/>
          </w:tcPr>
          <w:p w14:paraId="57C7DF44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Күшейту</w:t>
            </w:r>
          </w:p>
        </w:tc>
      </w:tr>
      <w:tr w14:paraId="4ECA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3B08F99C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Құқық бұзушылықтардың профилактикасы</w:t>
            </w:r>
          </w:p>
        </w:tc>
        <w:tc>
          <w:tcPr>
            <w:tcW w:w="2805" w:type="dxa"/>
            <w:vAlign w:val="center"/>
          </w:tcPr>
          <w:p w14:paraId="625C974F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Жоспарлы әңгімелесулер, рейдтер</w:t>
            </w:r>
          </w:p>
        </w:tc>
        <w:tc>
          <w:tcPr>
            <w:tcW w:w="3413" w:type="dxa"/>
            <w:vAlign w:val="center"/>
          </w:tcPr>
          <w:p w14:paraId="15259009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Кешенді профилактикалық жұмыс</w:t>
            </w:r>
          </w:p>
        </w:tc>
        <w:tc>
          <w:tcPr>
            <w:tcW w:w="0" w:type="auto"/>
            <w:vAlign w:val="center"/>
          </w:tcPr>
          <w:p w14:paraId="5D13770B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Жақсарту</w:t>
            </w:r>
          </w:p>
        </w:tc>
      </w:tr>
      <w:tr w14:paraId="22C0B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558D9176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Волонтерлік қызмет</w:t>
            </w:r>
          </w:p>
        </w:tc>
        <w:tc>
          <w:tcPr>
            <w:tcW w:w="2805" w:type="dxa"/>
            <w:vAlign w:val="center"/>
          </w:tcPr>
          <w:p w14:paraId="33123A81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Біржолғы акциялар</w:t>
            </w:r>
          </w:p>
        </w:tc>
        <w:tc>
          <w:tcPr>
            <w:tcW w:w="3413" w:type="dxa"/>
            <w:vAlign w:val="center"/>
          </w:tcPr>
          <w:p w14:paraId="5D5B2A26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Оқушылардың ұдайы қатысуы</w:t>
            </w:r>
          </w:p>
        </w:tc>
        <w:tc>
          <w:tcPr>
            <w:tcW w:w="0" w:type="auto"/>
            <w:vAlign w:val="center"/>
          </w:tcPr>
          <w:p w14:paraId="0D6CD1FE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Елеулі өсім</w:t>
            </w:r>
          </w:p>
        </w:tc>
      </w:tr>
      <w:tr w14:paraId="17F5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5723D215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Оқушылардың тәртіп деңгейі</w:t>
            </w:r>
          </w:p>
        </w:tc>
        <w:tc>
          <w:tcPr>
            <w:tcW w:w="2805" w:type="dxa"/>
            <w:vAlign w:val="center"/>
          </w:tcPr>
          <w:p w14:paraId="143F5396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Тұрақты</w:t>
            </w:r>
          </w:p>
        </w:tc>
        <w:tc>
          <w:tcPr>
            <w:tcW w:w="3413" w:type="dxa"/>
            <w:vAlign w:val="center"/>
          </w:tcPr>
          <w:p w14:paraId="5C7660CE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Жақсартылған, бұзушылықтар аз</w:t>
            </w:r>
          </w:p>
        </w:tc>
        <w:tc>
          <w:tcPr>
            <w:tcW w:w="0" w:type="auto"/>
            <w:vAlign w:val="center"/>
          </w:tcPr>
          <w:p w14:paraId="446CAB55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Оң динамика</w:t>
            </w:r>
          </w:p>
        </w:tc>
      </w:tr>
      <w:tr w14:paraId="7B8A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4860247B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Психологиялық-педагогикалық сүйемелдеу</w:t>
            </w:r>
          </w:p>
        </w:tc>
        <w:tc>
          <w:tcPr>
            <w:tcW w:w="2805" w:type="dxa"/>
            <w:vAlign w:val="center"/>
          </w:tcPr>
          <w:p w14:paraId="2B646178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Ішінара іске асырылды</w:t>
            </w:r>
          </w:p>
        </w:tc>
        <w:tc>
          <w:tcPr>
            <w:tcW w:w="3413" w:type="dxa"/>
            <w:vAlign w:val="center"/>
          </w:tcPr>
          <w:p w14:paraId="44FC09D1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Күшейтілген, жеке жұмыс</w:t>
            </w:r>
          </w:p>
        </w:tc>
        <w:tc>
          <w:tcPr>
            <w:tcW w:w="0" w:type="auto"/>
            <w:vAlign w:val="center"/>
          </w:tcPr>
          <w:p w14:paraId="14116CDF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Жақсарту</w:t>
            </w:r>
          </w:p>
        </w:tc>
      </w:tr>
      <w:tr w14:paraId="160F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082" w:type="dxa"/>
            <w:vAlign w:val="center"/>
          </w:tcPr>
          <w:p w14:paraId="07B54874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Тәрбиенің жалпы деңгейі</w:t>
            </w:r>
          </w:p>
        </w:tc>
        <w:tc>
          <w:tcPr>
            <w:tcW w:w="2805" w:type="dxa"/>
            <w:vAlign w:val="center"/>
          </w:tcPr>
          <w:p w14:paraId="50A944F5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Орташа</w:t>
            </w:r>
          </w:p>
        </w:tc>
        <w:tc>
          <w:tcPr>
            <w:tcW w:w="3413" w:type="dxa"/>
            <w:vAlign w:val="center"/>
          </w:tcPr>
          <w:p w14:paraId="08C75B66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Орташадан жоғары</w:t>
            </w:r>
          </w:p>
        </w:tc>
        <w:tc>
          <w:tcPr>
            <w:tcW w:w="0" w:type="auto"/>
            <w:vAlign w:val="center"/>
          </w:tcPr>
          <w:p w14:paraId="630A1D36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Өсу</w:t>
            </w:r>
          </w:p>
        </w:tc>
      </w:tr>
    </w:tbl>
    <w:p w14:paraId="7CAD4325">
      <w:pPr>
        <w:rPr>
          <w:rFonts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>Қорытынды :</w:t>
      </w:r>
      <w:r>
        <w:rPr>
          <w:rFonts w:ascii="Times New Roman" w:hAnsi="Times New Roman" w:cs="Times New Roman"/>
          <w:sz w:val="24"/>
          <w:szCs w:val="24"/>
          <w:lang w:val="zh-CN"/>
        </w:rPr>
        <w:t>Мониторинг көрсеткендей, 2025-2026 оқу жылында мектептің тәрбие жұмысы жүйелі және нәтижелі бола бастады. Оқушылардың қызығушылығының артуы, ата-аналармен жұмыстың күшеюі және тәртіптің жақсаруы байқалады. Тұтастай алғанда, барлық түйінді бағыттар бойынша оң динамика байқалады.</w:t>
      </w:r>
    </w:p>
    <w:p w14:paraId="6C5475BD">
      <w:pPr>
        <w:rPr>
          <w:lang w:val="zh-CN"/>
        </w:rPr>
      </w:pPr>
      <w:r>
        <w:drawing>
          <wp:inline distT="0" distB="0" distL="0" distR="0">
            <wp:extent cx="4318000" cy="1276350"/>
            <wp:effectExtent l="0" t="0" r="6350" b="0"/>
            <wp:docPr id="211985246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52467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10457" r="9534" b="11111"/>
                    <a:stretch>
                      <a:fillRect/>
                    </a:stretch>
                  </pic:blipFill>
                  <pic:spPr>
                    <a:xfrm>
                      <a:off x="0" y="0"/>
                      <a:ext cx="4326670" cy="127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9A7B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CC"/>
    <w:rsid w:val="000C433A"/>
    <w:rsid w:val="002544CC"/>
    <w:rsid w:val="006636F1"/>
    <w:rsid w:val="006862C3"/>
    <w:rsid w:val="00B05E4F"/>
    <w:rsid w:val="00CF7974"/>
    <w:rsid w:val="04C2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</Words>
  <Characters>1160</Characters>
  <Lines>10</Lines>
  <Paragraphs>2</Paragraphs>
  <TotalTime>1</TotalTime>
  <ScaleCrop>false</ScaleCrop>
  <LinksUpToDate>false</LinksUpToDate>
  <CharactersWithSpaces>1261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2026-05-29T09:22:00Z</dcterms:created>
  <dc:creator>Yandex.Translate</dc:creator>
  <dc:description>Translated with Yandex.Translate</dc:description>
  <cp:lastModifiedBy>Admin</cp:lastModifiedBy>
  <dcterms:modified xsi:type="dcterms:W3CDTF">2026-06-01T03:45:22Z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eyJoZGlkIjoiNzAxNTUwYzJlODBjMzI5NTQwMTZiZjhiMTE5YjJjYTQifQ==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44F3B91A17CE48818C7BC1808570F3F8_12</vt:lpwstr>
  </property>
</Properties>
</file>